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7"/>
          <w:szCs w:val="27"/>
        </w:rPr>
        <w:t>Бекетовой Н.И.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№2-38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>АО «Банк Русский Стандарт» к Добрыниной Веронике Александровне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АО «Банк Русский Стандарт»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(ИНН: 7707056547)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Добрыниной Веронике Александровне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15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>Добрыниной Вероники Александровны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Fonts w:ascii="Times New Roman" w:eastAsia="Times New Roman" w:hAnsi="Times New Roman" w:cs="Times New Roman"/>
          <w:sz w:val="27"/>
          <w:szCs w:val="27"/>
        </w:rPr>
        <w:t>АО «Банк Русский Стандарт»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19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02.02.2024 за период с 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02.2024 по 28.08.2024 в размере 47068,00 руб.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20500,00 </w:t>
      </w:r>
      <w:r>
        <w:rPr>
          <w:rFonts w:ascii="Times New Roman" w:eastAsia="Times New Roman" w:hAnsi="Times New Roman" w:cs="Times New Roman"/>
          <w:sz w:val="27"/>
          <w:szCs w:val="27"/>
        </w:rPr>
        <w:t>руб. – 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-26568,00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проценты за пользование займом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порядке распределения судебных расходов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Добрыниной Вероники Александровны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Fonts w:ascii="Times New Roman" w:eastAsia="Times New Roman" w:hAnsi="Times New Roman" w:cs="Times New Roman"/>
          <w:sz w:val="27"/>
          <w:szCs w:val="27"/>
        </w:rPr>
        <w:t>АО «Банк Русский Стандарт»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4000 </w:t>
      </w:r>
      <w:r>
        <w:rPr>
          <w:rFonts w:ascii="Times New Roman" w:eastAsia="Times New Roman" w:hAnsi="Times New Roman" w:cs="Times New Roman"/>
          <w:sz w:val="27"/>
          <w:szCs w:val="27"/>
        </w:rPr>
        <w:t>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10">
    <w:name w:val="cat-PassportData grp-15 rplc-10"/>
    <w:basedOn w:val="DefaultParagraphFont"/>
  </w:style>
  <w:style w:type="character" w:customStyle="1" w:styleId="cat-UserDefinedgrp-19rplc-15">
    <w:name w:val="cat-UserDefined grp-1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